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1A2C3262"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w:t>
      </w:r>
      <w:r w:rsidR="004A0150">
        <w:rPr>
          <w:rFonts w:ascii="Arial" w:hAnsi="Arial" w:cs="Arial"/>
          <w:b/>
          <w:bCs/>
          <w:sz w:val="24"/>
          <w:szCs w:val="24"/>
          <w:lang w:val="en-US"/>
        </w:rPr>
        <w:t>4</w:t>
      </w:r>
      <w:r w:rsidR="00BF0722">
        <w:rPr>
          <w:rFonts w:ascii="Arial" w:hAnsi="Arial" w:cs="Arial"/>
          <w:b/>
          <w:bCs/>
          <w:sz w:val="24"/>
          <w:szCs w:val="24"/>
          <w:lang w:val="en-US"/>
        </w:rPr>
        <w:t>bis</w:t>
      </w:r>
      <w:r w:rsidR="004A0150">
        <w:rPr>
          <w:rFonts w:ascii="Arial" w:hAnsi="Arial" w:cs="Arial"/>
          <w:b/>
          <w:bCs/>
          <w:sz w:val="24"/>
          <w:szCs w:val="24"/>
          <w:lang w:val="en-US"/>
        </w:rPr>
        <w:t>-e</w:t>
      </w:r>
      <w:r w:rsidRPr="00CA4123">
        <w:rPr>
          <w:rFonts w:ascii="Arial" w:hAnsi="Arial" w:cs="Arial"/>
          <w:b/>
          <w:sz w:val="24"/>
          <w:lang w:val="en-US"/>
        </w:rPr>
        <w:tab/>
      </w:r>
      <w:r w:rsidR="004509CC" w:rsidRPr="004509CC">
        <w:rPr>
          <w:rFonts w:ascii="Arial" w:hAnsi="Arial" w:cs="Arial"/>
          <w:b/>
          <w:bCs/>
          <w:sz w:val="32"/>
          <w:szCs w:val="32"/>
          <w:lang w:val="en-US"/>
        </w:rPr>
        <w:t>R4-</w:t>
      </w:r>
      <w:r w:rsidR="00BF0722">
        <w:rPr>
          <w:rFonts w:ascii="Arial" w:hAnsi="Arial" w:cs="Arial"/>
          <w:b/>
          <w:bCs/>
          <w:sz w:val="32"/>
          <w:szCs w:val="32"/>
          <w:lang w:val="en-US"/>
        </w:rPr>
        <w:t>200</w:t>
      </w:r>
      <w:r w:rsidR="000C14B4">
        <w:rPr>
          <w:rFonts w:ascii="Arial" w:hAnsi="Arial" w:cs="Arial"/>
          <w:b/>
          <w:bCs/>
          <w:sz w:val="32"/>
          <w:szCs w:val="32"/>
          <w:lang w:val="en-US"/>
        </w:rPr>
        <w:t>3107</w:t>
      </w:r>
      <w:bookmarkStart w:id="0" w:name="_GoBack"/>
      <w:bookmarkEnd w:id="0"/>
    </w:p>
    <w:p w14:paraId="1E0C1A9E" w14:textId="4C1E0A61" w:rsidR="00C140CC" w:rsidRDefault="004A0150"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7F9DBCDE" w:rsidRPr="7F9DBCDE">
        <w:rPr>
          <w:rFonts w:ascii="Arial" w:hAnsi="Arial" w:cs="Arial"/>
          <w:b/>
          <w:bCs/>
          <w:sz w:val="24"/>
          <w:szCs w:val="24"/>
        </w:rPr>
        <w:t xml:space="preserve">, </w:t>
      </w:r>
      <w:r w:rsidR="00BF0722">
        <w:rPr>
          <w:rFonts w:ascii="Arial" w:hAnsi="Arial" w:cs="Arial"/>
          <w:b/>
          <w:bCs/>
          <w:sz w:val="24"/>
          <w:szCs w:val="24"/>
        </w:rPr>
        <w:t>20</w:t>
      </w:r>
      <w:r w:rsidR="00BF0722">
        <w:rPr>
          <w:rFonts w:ascii="Arial" w:hAnsi="Arial" w:cs="Arial"/>
          <w:b/>
          <w:bCs/>
          <w:sz w:val="24"/>
          <w:szCs w:val="24"/>
          <w:vertAlign w:val="superscript"/>
        </w:rPr>
        <w:t>th</w:t>
      </w:r>
      <w:r w:rsidR="00BF0722">
        <w:rPr>
          <w:rFonts w:ascii="Arial" w:hAnsi="Arial" w:cs="Arial"/>
          <w:b/>
          <w:bCs/>
          <w:sz w:val="24"/>
          <w:szCs w:val="24"/>
        </w:rPr>
        <w:t xml:space="preserve"> – 30</w:t>
      </w:r>
      <w:r w:rsidR="00BF0722" w:rsidRPr="000C14B4">
        <w:rPr>
          <w:rFonts w:ascii="Arial" w:hAnsi="Arial" w:cs="Arial"/>
          <w:b/>
          <w:bCs/>
          <w:sz w:val="24"/>
          <w:szCs w:val="24"/>
          <w:vertAlign w:val="superscript"/>
        </w:rPr>
        <w:t>th</w:t>
      </w:r>
      <w:r w:rsidR="00BF0722">
        <w:rPr>
          <w:rFonts w:ascii="Arial" w:hAnsi="Arial" w:cs="Arial"/>
          <w:b/>
          <w:bCs/>
          <w:sz w:val="24"/>
          <w:szCs w:val="24"/>
        </w:rPr>
        <w:t xml:space="preserve"> April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12A71A73" w:rsidR="000421C4" w:rsidRPr="004C3D9E" w:rsidRDefault="003A1B8F" w:rsidP="000421C4">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1121C0">
        <w:rPr>
          <w:rFonts w:ascii="Arial" w:hAnsi="Arial" w:cs="Arial"/>
        </w:rPr>
        <w:t>LS on mandatory gap patterns for release 16</w:t>
      </w:r>
    </w:p>
    <w:p w14:paraId="76DA2FCD" w14:textId="11C59F4D" w:rsidR="009E4139" w:rsidRPr="00385529" w:rsidRDefault="009E4139" w:rsidP="009E4139">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121C0">
        <w:rPr>
          <w:rFonts w:ascii="Arial" w:hAnsi="Arial" w:cs="Arial"/>
          <w:bCs/>
        </w:rPr>
        <w:t>N/A</w:t>
      </w:r>
    </w:p>
    <w:p w14:paraId="2B68C1C9" w14:textId="6CFB99CE" w:rsidR="009E4139" w:rsidRPr="00385529" w:rsidRDefault="009E4139" w:rsidP="009E4139">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w:t>
      </w:r>
      <w:r w:rsidR="001121C0">
        <w:rPr>
          <w:rFonts w:ascii="Arial" w:hAnsi="Arial" w:cs="Arial"/>
          <w:bCs/>
        </w:rPr>
        <w:t>-16</w:t>
      </w:r>
    </w:p>
    <w:p w14:paraId="6CDF0EAA" w14:textId="20948287" w:rsidR="009E4139" w:rsidRPr="00385529" w:rsidRDefault="009E4139" w:rsidP="009E4139">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1121C0" w:rsidRPr="001121C0">
        <w:rPr>
          <w:rFonts w:ascii="Arial" w:hAnsi="Arial" w:cs="Arial"/>
          <w:bCs/>
        </w:rPr>
        <w:t>NR_RRM_enh-Core</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7324F1FC"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CA24DC">
        <w:rPr>
          <w:rFonts w:ascii="Arial" w:hAnsi="Arial" w:cs="Arial"/>
          <w:bCs/>
        </w:rPr>
        <w:t xml:space="preserve">RAN </w:t>
      </w:r>
      <w:r w:rsidR="00E725E2">
        <w:rPr>
          <w:rFonts w:ascii="Arial" w:hAnsi="Arial" w:cs="Arial"/>
          <w:bCs/>
        </w:rPr>
        <w:t>WG</w:t>
      </w:r>
      <w:r w:rsidR="001121C0">
        <w:rPr>
          <w:rFonts w:ascii="Arial" w:hAnsi="Arial" w:cs="Arial"/>
          <w:bCs/>
        </w:rPr>
        <w:t>2</w:t>
      </w:r>
    </w:p>
    <w:p w14:paraId="2B104F3D" w14:textId="4CB04312"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1121C0">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460F99A6"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2C367A80" w14:textId="5E5AF78D" w:rsidR="009E4139" w:rsidRPr="001121C0" w:rsidRDefault="001121C0" w:rsidP="001121C0">
      <w:pPr>
        <w:pStyle w:val="3GPPNormalText"/>
      </w:pPr>
      <w:r w:rsidRPr="001121C0">
        <w:t>As an objective of the NR RRM enhancements release 16 work item, RAN4 has been discussing additional mandatory gap patterns for release 16.</w:t>
      </w:r>
    </w:p>
    <w:p w14:paraId="62D7CC50" w14:textId="3ADA57B7" w:rsidR="001121C0" w:rsidRPr="001121C0" w:rsidRDefault="001121C0" w:rsidP="001121C0">
      <w:pPr>
        <w:pStyle w:val="3GPPNormalText"/>
      </w:pPr>
      <w:r w:rsidRPr="001121C0">
        <w:t>One issue with the capabilities signaling and gap applicability in release 15 is that if an NR capable UE indicates support for gap patterns GP2, GP3, GP4, GP6, GP7, GP8, or GP10 in either shortMeasurementGap-r14/measGapPatterns-r15 (36.306) or supportedGapPattern(38.308) then the UE is expected to support all RAN4 specified applicability for all the patterns it supports, which includes both LTE and NR measurements.</w:t>
      </w:r>
    </w:p>
    <w:p w14:paraId="3CCAA12D" w14:textId="6C660449" w:rsidR="001121C0" w:rsidRDefault="001121C0" w:rsidP="006074C3">
      <w:pPr>
        <w:pStyle w:val="3GPPNormalText"/>
        <w:ind w:firstLine="0"/>
      </w:pPr>
      <w:r>
        <w:t xml:space="preserve">Since these gap patterns have a measurement gap length (MGL) of less than 6ms, this implies that the UE needs to support </w:t>
      </w:r>
      <w:r w:rsidR="00254211">
        <w:t>LTE short measurement gap functionality as well as NR measurement functionality.</w:t>
      </w:r>
    </w:p>
    <w:p w14:paraId="20BF4302" w14:textId="63084B74" w:rsidR="00254211" w:rsidRDefault="00254211" w:rsidP="006074C3">
      <w:pPr>
        <w:pStyle w:val="3GPPNormalText"/>
        <w:ind w:firstLine="0"/>
      </w:pPr>
      <w:r>
        <w:t xml:space="preserve">The main interest in RAN4 is in mandating additional gap patterns for NR measurements, however this cannot be done for the aforementioned gap patterns by requiring the relevant bit in </w:t>
      </w:r>
      <w:r w:rsidRPr="001121C0">
        <w:t>measGapPatterns-r15</w:t>
      </w:r>
      <w:r>
        <w:t xml:space="preserve"> and </w:t>
      </w:r>
      <w:r w:rsidRPr="001121C0">
        <w:t xml:space="preserve"> supportedGapPattern</w:t>
      </w:r>
      <w:r>
        <w:t xml:space="preserve"> to be ‘1’ without also mandating the LTE functionality.</w:t>
      </w:r>
    </w:p>
    <w:p w14:paraId="5043991A" w14:textId="49A852B1" w:rsidR="00254211" w:rsidRDefault="00254211" w:rsidP="006074C3">
      <w:pPr>
        <w:pStyle w:val="3GPPNormalText"/>
        <w:ind w:firstLine="0"/>
      </w:pPr>
      <w:r>
        <w:t>RAN4 requests RAN2 to introduce additional capability signaling in release 16 in a backwards compatible manner such that a release 16 UE can indicate using the new capabilities that it supports a particular</w:t>
      </w:r>
      <w:r w:rsidR="009D4DBF">
        <w:t xml:space="preserve"> shorter than 6ms MGL</w:t>
      </w:r>
      <w:r>
        <w:t xml:space="preserve"> gap pattern for NR-only measurements. RAN4 understands that for backwards compatibility reasons the definition of release 15 capabilities should not be modified, and RAN4 will maintain the existing applicability of measurement gap patterns when they are indicated as supported using the legacy signaling. RAN4 will introduce additional applicability for the case that the UE indicates support for gap patterns using the release 16 signaling such that the UE is </w:t>
      </w:r>
      <w:r w:rsidR="00182E72">
        <w:t xml:space="preserve">assumed capable to perform NR measurements </w:t>
      </w:r>
      <w:r>
        <w:t>only the release 16 capability (</w:t>
      </w:r>
      <w:r w:rsidR="00E725E2">
        <w:t>i.e.</w:t>
      </w:r>
      <w:r>
        <w:t xml:space="preserve"> the corresponding </w:t>
      </w:r>
      <w:r w:rsidRPr="001121C0">
        <w:t>measGapPatterns-r15</w:t>
      </w:r>
      <w:r>
        <w:t>/</w:t>
      </w:r>
      <w:r w:rsidRPr="001121C0">
        <w:t>supportedGapPattern</w:t>
      </w:r>
      <w:r>
        <w:t xml:space="preserve"> indication is ‘0’).</w:t>
      </w:r>
    </w:p>
    <w:p w14:paraId="59793F6B" w14:textId="18B0957C" w:rsidR="00BF0722" w:rsidRPr="000C14B4" w:rsidRDefault="00BF0722" w:rsidP="006074C3">
      <w:pPr>
        <w:pStyle w:val="3GPPNormalText"/>
        <w:ind w:firstLine="0"/>
      </w:pPr>
      <w:r w:rsidRPr="000C14B4">
        <w:t>The additional mandatory gap patterns according to this capability would not be used for measurements of RATs other than NR, and would not be applied to an LTE serving cell. The applicability of gaps according to this capability will be captured in 38.133. In summary, the following is expected to apply:</w:t>
      </w:r>
    </w:p>
    <w:p w14:paraId="6AACCC34" w14:textId="77777777" w:rsidR="00BF0722" w:rsidRPr="000C14B4" w:rsidRDefault="00BF0722" w:rsidP="00BF0722">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350"/>
      </w:tblGrid>
      <w:tr w:rsidR="00BF0722" w:rsidRPr="000C14B4" w14:paraId="7FD11759" w14:textId="77777777" w:rsidTr="00CB1501">
        <w:tc>
          <w:tcPr>
            <w:tcW w:w="2690" w:type="dxa"/>
            <w:shd w:val="clear" w:color="auto" w:fill="auto"/>
          </w:tcPr>
          <w:p w14:paraId="0222D796" w14:textId="77777777" w:rsidR="00BF0722" w:rsidRPr="000C14B4" w:rsidRDefault="00BF0722" w:rsidP="00CB1501">
            <w:pPr>
              <w:rPr>
                <w:lang w:val="en-US" w:eastAsia="zh-CN"/>
              </w:rPr>
            </w:pPr>
          </w:p>
        </w:tc>
        <w:tc>
          <w:tcPr>
            <w:tcW w:w="8073" w:type="dxa"/>
            <w:shd w:val="clear" w:color="auto" w:fill="auto"/>
          </w:tcPr>
          <w:p w14:paraId="0DB5502A" w14:textId="77777777" w:rsidR="00BF0722" w:rsidRPr="000C14B4" w:rsidRDefault="00BF0722" w:rsidP="00CB1501">
            <w:pPr>
              <w:rPr>
                <w:lang w:val="en-US" w:eastAsia="zh-CN"/>
              </w:rPr>
            </w:pPr>
            <w:r w:rsidRPr="000C14B4">
              <w:rPr>
                <w:lang w:val="en-US" w:eastAsia="zh-CN"/>
              </w:rPr>
              <w:t xml:space="preserve">Scenarios for “NR only” measurement </w:t>
            </w:r>
          </w:p>
        </w:tc>
      </w:tr>
      <w:tr w:rsidR="00BF0722" w:rsidRPr="000C14B4" w14:paraId="57726906" w14:textId="77777777" w:rsidTr="00CB1501">
        <w:tc>
          <w:tcPr>
            <w:tcW w:w="2690" w:type="dxa"/>
            <w:shd w:val="clear" w:color="auto" w:fill="auto"/>
          </w:tcPr>
          <w:p w14:paraId="1379BC1A" w14:textId="77777777" w:rsidR="00BF0722" w:rsidRPr="000C14B4" w:rsidRDefault="00BF0722" w:rsidP="00CB1501">
            <w:pPr>
              <w:rPr>
                <w:lang w:val="en-US" w:eastAsia="zh-CN"/>
              </w:rPr>
            </w:pPr>
            <w:r w:rsidRPr="000C14B4">
              <w:rPr>
                <w:lang w:val="en-US" w:eastAsia="zh-CN"/>
              </w:rPr>
              <w:t>LTE-SA</w:t>
            </w:r>
          </w:p>
        </w:tc>
        <w:tc>
          <w:tcPr>
            <w:tcW w:w="8073" w:type="dxa"/>
            <w:shd w:val="clear" w:color="auto" w:fill="auto"/>
          </w:tcPr>
          <w:p w14:paraId="4031F435" w14:textId="77777777" w:rsidR="00BF0722" w:rsidRPr="000C14B4" w:rsidRDefault="00BF0722" w:rsidP="00CB1501">
            <w:pPr>
              <w:rPr>
                <w:lang w:val="en-US" w:eastAsia="zh-CN"/>
              </w:rPr>
            </w:pPr>
            <w:r w:rsidRPr="000C14B4">
              <w:rPr>
                <w:lang w:val="en-US" w:eastAsia="zh-CN"/>
              </w:rPr>
              <w:t>N/A</w:t>
            </w:r>
          </w:p>
        </w:tc>
      </w:tr>
      <w:tr w:rsidR="00BF0722" w:rsidRPr="000C14B4" w14:paraId="17D6C6A6" w14:textId="77777777" w:rsidTr="00CB1501">
        <w:tc>
          <w:tcPr>
            <w:tcW w:w="2690" w:type="dxa"/>
            <w:shd w:val="clear" w:color="auto" w:fill="auto"/>
          </w:tcPr>
          <w:p w14:paraId="5B33E7DD" w14:textId="77777777" w:rsidR="00BF0722" w:rsidRPr="000C14B4" w:rsidRDefault="00BF0722" w:rsidP="00CB1501">
            <w:pPr>
              <w:rPr>
                <w:lang w:val="en-US" w:eastAsia="zh-CN"/>
              </w:rPr>
            </w:pPr>
            <w:r w:rsidRPr="000C14B4">
              <w:rPr>
                <w:lang w:val="en-US" w:eastAsia="zh-CN"/>
              </w:rPr>
              <w:t>EN-DC</w:t>
            </w:r>
          </w:p>
        </w:tc>
        <w:tc>
          <w:tcPr>
            <w:tcW w:w="8073" w:type="dxa"/>
            <w:shd w:val="clear" w:color="auto" w:fill="auto"/>
          </w:tcPr>
          <w:p w14:paraId="7152FD92" w14:textId="77777777" w:rsidR="00BF0722" w:rsidRPr="000C14B4" w:rsidRDefault="00BF0722" w:rsidP="00CB1501">
            <w:pPr>
              <w:rPr>
                <w:lang w:val="en-US" w:eastAsia="zh-CN"/>
              </w:rPr>
            </w:pPr>
            <w:r w:rsidRPr="000C14B4">
              <w:rPr>
                <w:lang w:val="en-US" w:eastAsia="zh-CN"/>
              </w:rPr>
              <w:t>N/A</w:t>
            </w:r>
          </w:p>
        </w:tc>
      </w:tr>
      <w:tr w:rsidR="00BF0722" w:rsidRPr="000C14B4" w14:paraId="0470FEF9" w14:textId="77777777" w:rsidTr="00CB1501">
        <w:tc>
          <w:tcPr>
            <w:tcW w:w="2690" w:type="dxa"/>
            <w:shd w:val="clear" w:color="auto" w:fill="auto"/>
          </w:tcPr>
          <w:p w14:paraId="258F847B" w14:textId="77777777" w:rsidR="00BF0722" w:rsidRPr="000C14B4" w:rsidRDefault="00BF0722" w:rsidP="00CB1501">
            <w:pPr>
              <w:rPr>
                <w:lang w:val="en-US" w:eastAsia="zh-CN"/>
              </w:rPr>
            </w:pPr>
            <w:r w:rsidRPr="000C14B4">
              <w:rPr>
                <w:lang w:val="en-US" w:eastAsia="zh-CN"/>
              </w:rPr>
              <w:t>NR-SA including NR-DC</w:t>
            </w:r>
          </w:p>
        </w:tc>
        <w:tc>
          <w:tcPr>
            <w:tcW w:w="8073" w:type="dxa"/>
            <w:shd w:val="clear" w:color="auto" w:fill="auto"/>
          </w:tcPr>
          <w:p w14:paraId="0DDA22AD" w14:textId="20F2113B" w:rsidR="00BF0722" w:rsidRPr="000C14B4" w:rsidRDefault="00BF0722" w:rsidP="00CB1501">
            <w:pPr>
              <w:rPr>
                <w:lang w:val="en-US" w:eastAsia="zh-CN"/>
              </w:rPr>
            </w:pPr>
            <w:r w:rsidRPr="000C14B4">
              <w:rPr>
                <w:lang w:val="en-US" w:eastAsia="zh-CN"/>
              </w:rPr>
              <w:t>No non-NR measurement objects; FR1-only, FR2-only or FR1+FR2 measurements</w:t>
            </w:r>
          </w:p>
        </w:tc>
      </w:tr>
      <w:tr w:rsidR="00BF0722" w:rsidRPr="000C14B4" w14:paraId="32D763DE" w14:textId="77777777" w:rsidTr="00CB1501">
        <w:tc>
          <w:tcPr>
            <w:tcW w:w="2690" w:type="dxa"/>
            <w:shd w:val="clear" w:color="auto" w:fill="auto"/>
          </w:tcPr>
          <w:p w14:paraId="7DF24BCD" w14:textId="77777777" w:rsidR="00BF0722" w:rsidRPr="000C14B4" w:rsidRDefault="00BF0722" w:rsidP="00CB1501">
            <w:pPr>
              <w:rPr>
                <w:lang w:val="en-US" w:eastAsia="zh-CN"/>
              </w:rPr>
            </w:pPr>
            <w:r w:rsidRPr="000C14B4">
              <w:rPr>
                <w:lang w:val="en-US" w:eastAsia="zh-CN"/>
              </w:rPr>
              <w:t>NE-DC</w:t>
            </w:r>
          </w:p>
        </w:tc>
        <w:tc>
          <w:tcPr>
            <w:tcW w:w="8073" w:type="dxa"/>
            <w:shd w:val="clear" w:color="auto" w:fill="auto"/>
          </w:tcPr>
          <w:p w14:paraId="53530443" w14:textId="77777777" w:rsidR="00BF0722" w:rsidRPr="000C14B4" w:rsidRDefault="00BF0722" w:rsidP="00CB1501">
            <w:pPr>
              <w:rPr>
                <w:lang w:val="en-US" w:eastAsia="zh-CN"/>
              </w:rPr>
            </w:pPr>
            <w:r w:rsidRPr="000C14B4">
              <w:rPr>
                <w:lang w:val="en-US" w:eastAsia="zh-CN"/>
              </w:rPr>
              <w:t>N/A</w:t>
            </w:r>
          </w:p>
        </w:tc>
      </w:tr>
    </w:tbl>
    <w:p w14:paraId="0C1F1A36" w14:textId="77777777" w:rsidR="00BF0722" w:rsidRPr="000C14B4" w:rsidRDefault="00BF0722" w:rsidP="00BF0722">
      <w:pPr>
        <w:rPr>
          <w:b/>
          <w:bCs/>
          <w:lang w:val="en-US" w:eastAsia="zh-CN"/>
        </w:rPr>
      </w:pPr>
      <w:r w:rsidRPr="000C14B4">
        <w:rPr>
          <w:b/>
          <w:bCs/>
          <w:lang w:val="en-US" w:eastAsia="zh-CN"/>
        </w:rPr>
        <w:t>Table 1:UE not supporting, or not configured with per FR gaps</w:t>
      </w:r>
    </w:p>
    <w:p w14:paraId="203D45F0" w14:textId="77777777" w:rsidR="00BF0722" w:rsidRPr="000C14B4" w:rsidRDefault="00BF0722" w:rsidP="00BF0722">
      <w:pPr>
        <w:rPr>
          <w:b/>
          <w:b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7367"/>
      </w:tblGrid>
      <w:tr w:rsidR="00BF0722" w:rsidRPr="000C14B4" w14:paraId="4F0F24FF" w14:textId="77777777" w:rsidTr="00CB1501">
        <w:tc>
          <w:tcPr>
            <w:tcW w:w="2690" w:type="dxa"/>
            <w:shd w:val="clear" w:color="auto" w:fill="auto"/>
          </w:tcPr>
          <w:p w14:paraId="69B0C421" w14:textId="77777777" w:rsidR="00BF0722" w:rsidRPr="000C14B4" w:rsidRDefault="00BF0722" w:rsidP="00CB1501">
            <w:pPr>
              <w:rPr>
                <w:lang w:val="en-US" w:eastAsia="zh-CN"/>
              </w:rPr>
            </w:pPr>
          </w:p>
        </w:tc>
        <w:tc>
          <w:tcPr>
            <w:tcW w:w="8073" w:type="dxa"/>
            <w:shd w:val="clear" w:color="auto" w:fill="auto"/>
          </w:tcPr>
          <w:p w14:paraId="3D610BD1" w14:textId="77777777" w:rsidR="00BF0722" w:rsidRPr="000C14B4" w:rsidRDefault="00BF0722" w:rsidP="00CB1501">
            <w:pPr>
              <w:rPr>
                <w:lang w:val="en-US" w:eastAsia="zh-CN"/>
              </w:rPr>
            </w:pPr>
            <w:r w:rsidRPr="000C14B4">
              <w:rPr>
                <w:lang w:val="en-US" w:eastAsia="zh-CN"/>
              </w:rPr>
              <w:t xml:space="preserve">Scenarios for “NR only” measurement </w:t>
            </w:r>
          </w:p>
        </w:tc>
      </w:tr>
      <w:tr w:rsidR="00BF0722" w:rsidRPr="000C14B4" w14:paraId="2C7A11D1" w14:textId="77777777" w:rsidTr="00CB1501">
        <w:tc>
          <w:tcPr>
            <w:tcW w:w="2690" w:type="dxa"/>
            <w:shd w:val="clear" w:color="auto" w:fill="auto"/>
          </w:tcPr>
          <w:p w14:paraId="130B1CD6" w14:textId="77777777" w:rsidR="00BF0722" w:rsidRPr="000C14B4" w:rsidRDefault="00BF0722" w:rsidP="00CB1501">
            <w:pPr>
              <w:rPr>
                <w:lang w:val="en-US" w:eastAsia="zh-CN"/>
              </w:rPr>
            </w:pPr>
            <w:r w:rsidRPr="000C14B4">
              <w:rPr>
                <w:lang w:val="en-US" w:eastAsia="zh-CN"/>
              </w:rPr>
              <w:t>LTE-SA</w:t>
            </w:r>
          </w:p>
        </w:tc>
        <w:tc>
          <w:tcPr>
            <w:tcW w:w="8073" w:type="dxa"/>
            <w:shd w:val="clear" w:color="auto" w:fill="auto"/>
          </w:tcPr>
          <w:p w14:paraId="2C5DFB2F" w14:textId="0EE49C50" w:rsidR="00BF0722" w:rsidRPr="000C14B4" w:rsidRDefault="00BF0722" w:rsidP="00CB1501">
            <w:pPr>
              <w:rPr>
                <w:lang w:val="en-US" w:eastAsia="zh-CN"/>
              </w:rPr>
            </w:pPr>
            <w:r w:rsidRPr="000C14B4">
              <w:rPr>
                <w:lang w:val="en-US" w:eastAsia="zh-CN"/>
              </w:rPr>
              <w:t>FR2 NR measurements (gaps not needed as specified in  36.133 from rel15 onwards)</w:t>
            </w:r>
          </w:p>
        </w:tc>
      </w:tr>
      <w:tr w:rsidR="00BF0722" w:rsidRPr="000C14B4" w14:paraId="19A3A97F" w14:textId="77777777" w:rsidTr="00CB1501">
        <w:tc>
          <w:tcPr>
            <w:tcW w:w="2690" w:type="dxa"/>
            <w:shd w:val="clear" w:color="auto" w:fill="auto"/>
          </w:tcPr>
          <w:p w14:paraId="620A4D4D" w14:textId="77777777" w:rsidR="00BF0722" w:rsidRPr="000C14B4" w:rsidRDefault="00BF0722" w:rsidP="00CB1501">
            <w:pPr>
              <w:rPr>
                <w:lang w:val="en-US" w:eastAsia="zh-CN"/>
              </w:rPr>
            </w:pPr>
            <w:r w:rsidRPr="000C14B4">
              <w:rPr>
                <w:lang w:val="en-US" w:eastAsia="zh-CN"/>
              </w:rPr>
              <w:t>EN-DC</w:t>
            </w:r>
          </w:p>
        </w:tc>
        <w:tc>
          <w:tcPr>
            <w:tcW w:w="8073" w:type="dxa"/>
            <w:shd w:val="clear" w:color="auto" w:fill="auto"/>
          </w:tcPr>
          <w:p w14:paraId="40445CAA" w14:textId="77777777" w:rsidR="00BF0722" w:rsidRPr="000C14B4" w:rsidRDefault="00BF0722" w:rsidP="00CB1501">
            <w:pPr>
              <w:rPr>
                <w:lang w:val="en-US" w:eastAsia="zh-CN"/>
              </w:rPr>
            </w:pPr>
            <w:r w:rsidRPr="000C14B4">
              <w:rPr>
                <w:lang w:val="en-US" w:eastAsia="zh-CN"/>
              </w:rPr>
              <w:t>FR2 NR measurement</w:t>
            </w:r>
          </w:p>
        </w:tc>
      </w:tr>
      <w:tr w:rsidR="00BF0722" w:rsidRPr="000C14B4" w14:paraId="5A10A09F" w14:textId="77777777" w:rsidTr="00CB1501">
        <w:tc>
          <w:tcPr>
            <w:tcW w:w="2690" w:type="dxa"/>
            <w:shd w:val="clear" w:color="auto" w:fill="auto"/>
          </w:tcPr>
          <w:p w14:paraId="36AA2868" w14:textId="77777777" w:rsidR="00BF0722" w:rsidRPr="000C14B4" w:rsidRDefault="00BF0722" w:rsidP="00CB1501">
            <w:pPr>
              <w:rPr>
                <w:lang w:val="en-US" w:eastAsia="zh-CN"/>
              </w:rPr>
            </w:pPr>
            <w:r w:rsidRPr="000C14B4">
              <w:rPr>
                <w:lang w:val="en-US" w:eastAsia="zh-CN"/>
              </w:rPr>
              <w:t>NR-SA including NR-DC</w:t>
            </w:r>
          </w:p>
        </w:tc>
        <w:tc>
          <w:tcPr>
            <w:tcW w:w="8073" w:type="dxa"/>
            <w:shd w:val="clear" w:color="auto" w:fill="auto"/>
          </w:tcPr>
          <w:p w14:paraId="38DCEB42" w14:textId="77777777" w:rsidR="00BF0722" w:rsidRPr="000C14B4" w:rsidRDefault="00BF0722" w:rsidP="00BF0722">
            <w:pPr>
              <w:numPr>
                <w:ilvl w:val="0"/>
                <w:numId w:val="26"/>
              </w:numPr>
              <w:spacing w:after="180"/>
              <w:rPr>
                <w:lang w:val="en-US" w:eastAsia="zh-CN"/>
              </w:rPr>
            </w:pPr>
            <w:r w:rsidRPr="000C14B4">
              <w:rPr>
                <w:lang w:val="en-US" w:eastAsia="zh-CN"/>
              </w:rPr>
              <w:t>FR1 measurements when there are only NR measurement objects in FR1</w:t>
            </w:r>
          </w:p>
          <w:p w14:paraId="0E3A15C7" w14:textId="77777777" w:rsidR="00BF0722" w:rsidRPr="000C14B4" w:rsidRDefault="00BF0722" w:rsidP="00BF0722">
            <w:pPr>
              <w:numPr>
                <w:ilvl w:val="0"/>
                <w:numId w:val="26"/>
              </w:numPr>
              <w:spacing w:after="180"/>
              <w:rPr>
                <w:lang w:val="en-US" w:eastAsia="zh-CN"/>
              </w:rPr>
            </w:pPr>
            <w:r w:rsidRPr="000C14B4">
              <w:rPr>
                <w:lang w:val="en-US" w:eastAsia="zh-CN"/>
              </w:rPr>
              <w:lastRenderedPageBreak/>
              <w:t>FR2 only measurements</w:t>
            </w:r>
          </w:p>
          <w:p w14:paraId="65621BC1" w14:textId="77777777" w:rsidR="00BF0722" w:rsidRPr="000C14B4" w:rsidRDefault="00BF0722" w:rsidP="00BF0722">
            <w:pPr>
              <w:numPr>
                <w:ilvl w:val="0"/>
                <w:numId w:val="26"/>
              </w:numPr>
              <w:spacing w:after="180"/>
              <w:rPr>
                <w:lang w:val="en-US" w:eastAsia="zh-CN"/>
              </w:rPr>
            </w:pPr>
            <w:r w:rsidRPr="000C14B4">
              <w:rPr>
                <w:lang w:val="en-US" w:eastAsia="zh-CN"/>
              </w:rPr>
              <w:t xml:space="preserve"> FR1 + FR2 measurements when there are only NR measurement objects in FR1</w:t>
            </w:r>
          </w:p>
          <w:p w14:paraId="7FCF983F" w14:textId="77777777" w:rsidR="00BF0722" w:rsidRPr="000C14B4" w:rsidRDefault="00BF0722" w:rsidP="00BF0722">
            <w:pPr>
              <w:numPr>
                <w:ilvl w:val="0"/>
                <w:numId w:val="26"/>
              </w:numPr>
              <w:spacing w:after="180"/>
              <w:rPr>
                <w:lang w:val="en-US" w:eastAsia="zh-CN"/>
              </w:rPr>
            </w:pPr>
            <w:r w:rsidRPr="000C14B4">
              <w:rPr>
                <w:lang w:val="en-US" w:eastAsia="zh-CN"/>
              </w:rPr>
              <w:t>FR2 measurements when there are non NR measurements in FR1</w:t>
            </w:r>
          </w:p>
        </w:tc>
      </w:tr>
      <w:tr w:rsidR="00BF0722" w:rsidRPr="000C14B4" w14:paraId="766CEDEA" w14:textId="77777777" w:rsidTr="00CB1501">
        <w:tc>
          <w:tcPr>
            <w:tcW w:w="2690" w:type="dxa"/>
            <w:shd w:val="clear" w:color="auto" w:fill="auto"/>
          </w:tcPr>
          <w:p w14:paraId="4AEED7CA" w14:textId="77777777" w:rsidR="00BF0722" w:rsidRPr="000C14B4" w:rsidRDefault="00BF0722" w:rsidP="00CB1501">
            <w:pPr>
              <w:rPr>
                <w:lang w:val="en-US" w:eastAsia="zh-CN"/>
              </w:rPr>
            </w:pPr>
            <w:r w:rsidRPr="000C14B4">
              <w:rPr>
                <w:lang w:val="en-US" w:eastAsia="zh-CN"/>
              </w:rPr>
              <w:lastRenderedPageBreak/>
              <w:t>NE-DC</w:t>
            </w:r>
          </w:p>
        </w:tc>
        <w:tc>
          <w:tcPr>
            <w:tcW w:w="8073" w:type="dxa"/>
            <w:shd w:val="clear" w:color="auto" w:fill="auto"/>
          </w:tcPr>
          <w:p w14:paraId="47D94D07" w14:textId="77777777" w:rsidR="00BF0722" w:rsidRPr="000C14B4" w:rsidRDefault="00BF0722" w:rsidP="00CB1501">
            <w:pPr>
              <w:rPr>
                <w:lang w:val="en-US" w:eastAsia="zh-CN"/>
              </w:rPr>
            </w:pPr>
            <w:r w:rsidRPr="000C14B4">
              <w:rPr>
                <w:lang w:val="en-US" w:eastAsia="zh-CN"/>
              </w:rPr>
              <w:t>FR2 NR measurement</w:t>
            </w:r>
          </w:p>
        </w:tc>
      </w:tr>
    </w:tbl>
    <w:p w14:paraId="4BF02B2F" w14:textId="77777777" w:rsidR="00BF0722" w:rsidRPr="000C14B4" w:rsidRDefault="00BF0722" w:rsidP="00BF0722">
      <w:pPr>
        <w:rPr>
          <w:b/>
          <w:bCs/>
          <w:lang w:val="en-US" w:eastAsia="zh-CN"/>
        </w:rPr>
      </w:pPr>
      <w:r w:rsidRPr="000C14B4">
        <w:rPr>
          <w:b/>
          <w:bCs/>
          <w:lang w:val="en-US" w:eastAsia="zh-CN"/>
        </w:rPr>
        <w:t>Table 2:UE supporting and configured with per FR gaps</w:t>
      </w:r>
    </w:p>
    <w:p w14:paraId="49636D58" w14:textId="703A514A" w:rsidR="00BF0722" w:rsidRPr="000C14B4" w:rsidRDefault="00BF0722" w:rsidP="006074C3">
      <w:pPr>
        <w:pStyle w:val="3GPPNormalText"/>
        <w:ind w:firstLine="0"/>
      </w:pPr>
    </w:p>
    <w:p w14:paraId="084D6E96" w14:textId="6209D905" w:rsidR="00BF0722" w:rsidRPr="001121C0" w:rsidRDefault="00BF0722" w:rsidP="006074C3">
      <w:pPr>
        <w:pStyle w:val="3GPPNormalText"/>
        <w:ind w:firstLine="0"/>
      </w:pPr>
      <w:r w:rsidRPr="000C14B4">
        <w:t xml:space="preserve">Since RAN4 understanding of RAN2 </w:t>
      </w:r>
      <w:r w:rsidR="000C14B4" w:rsidRPr="000C14B4">
        <w:t>specifications</w:t>
      </w:r>
      <w:r w:rsidRPr="000C14B4">
        <w:t xml:space="preserve"> is that the NR RRC entity takes care of configuration of FR2 measurements in EN-DC and NE-DC, and configuration of all per UE and per FR gaps, RAN4 understanding is that it would be sufficient to specify the NR only gap capability in </w:t>
      </w:r>
      <w:r w:rsidR="002635CA" w:rsidRPr="000C14B4">
        <w:t>38 series specifications only (</w:t>
      </w:r>
      <w:r w:rsidR="000C14B4" w:rsidRPr="000C14B4">
        <w:t>i.e.</w:t>
      </w:r>
      <w:r w:rsidR="002635CA" w:rsidRPr="000C14B4">
        <w:t xml:space="preserve"> 38.331/38.306).</w:t>
      </w:r>
    </w:p>
    <w:p w14:paraId="69BA887F" w14:textId="6DAB66FF" w:rsidR="009A1D79" w:rsidRPr="009A1D79" w:rsidRDefault="004C3D9E" w:rsidP="009A1D79">
      <w:pPr>
        <w:pStyle w:val="ListParagraph"/>
        <w:numPr>
          <w:ilvl w:val="0"/>
          <w:numId w:val="12"/>
        </w:numPr>
        <w:spacing w:after="120"/>
        <w:rPr>
          <w:rFonts w:ascii="Arial" w:hAnsi="Arial" w:cs="Arial"/>
          <w:b/>
          <w:bCs/>
        </w:rPr>
      </w:pPr>
      <w:r>
        <w:rPr>
          <w:rFonts w:ascii="Arial" w:hAnsi="Arial" w:cs="Arial"/>
          <w:b/>
          <w:bCs/>
        </w:rPr>
        <w:t>Actions</w:t>
      </w:r>
    </w:p>
    <w:p w14:paraId="3C2F1A46" w14:textId="63DDDEB7" w:rsidR="00182E72" w:rsidRPr="00182E72" w:rsidRDefault="00182E72" w:rsidP="00182E72">
      <w:pPr>
        <w:pStyle w:val="3GPPNormalText"/>
      </w:pPr>
      <w:r w:rsidRPr="00182E72">
        <w:t xml:space="preserve">RAN2 </w:t>
      </w:r>
      <w:r>
        <w:t xml:space="preserve">is kindly requested to introduce additional capability </w:t>
      </w:r>
      <w:r w:rsidR="00E725E2">
        <w:t>signaling</w:t>
      </w:r>
      <w:r>
        <w:t xml:space="preserve"> in release 16 for NR only measurements. RAN4 will provide further feedback on which gap patterns should be considered as mandatory for release 16 (both for </w:t>
      </w:r>
      <w:r w:rsidRPr="001121C0">
        <w:t>GP2, GP3, GP4, GP6, GP7, GP8, or GP10</w:t>
      </w:r>
      <w:r>
        <w:t xml:space="preserve"> with NR-only measurements, and for GP5,GP9,GP11, and GP12-23 which do not support any LTE measurement use case, even in release 15. RAN4 expects to provide this further feedback after RAN4#94</w:t>
      </w:r>
      <w:r w:rsidR="009D4DBF">
        <w:t>bis</w:t>
      </w:r>
      <w:r>
        <w:t>.</w:t>
      </w:r>
    </w:p>
    <w:p w14:paraId="130DC0E6" w14:textId="77777777" w:rsidR="009E4139" w:rsidRDefault="009E4139" w:rsidP="00D75E66">
      <w:pPr>
        <w:pStyle w:val="ListParagraph"/>
        <w:spacing w:after="120"/>
        <w:rPr>
          <w:rFonts w:ascii="Arial" w:hAnsi="Arial" w:cs="Arial"/>
          <w:b/>
          <w:bCs/>
        </w:rPr>
      </w:pPr>
    </w:p>
    <w:p w14:paraId="785D2F71" w14:textId="26688F98" w:rsidR="00D5390B" w:rsidRPr="009A1D79" w:rsidRDefault="00300A5A" w:rsidP="7F9DBCDE">
      <w:pPr>
        <w:spacing w:after="120"/>
        <w:ind w:left="1985" w:hanging="1985"/>
        <w:rPr>
          <w:rFonts w:ascii="Arial" w:hAnsi="Arial" w:cs="Arial"/>
          <w:bCs/>
        </w:rPr>
      </w:pPr>
      <w:r>
        <w:rPr>
          <w:rFonts w:ascii="Arial" w:hAnsi="Arial" w:cs="Arial"/>
          <w:b/>
          <w:bCs/>
        </w:rPr>
        <w:t xml:space="preserve">To </w:t>
      </w:r>
      <w:r w:rsidR="009A1D79">
        <w:rPr>
          <w:rFonts w:ascii="Arial" w:hAnsi="Arial" w:cs="Arial"/>
          <w:b/>
          <w:bCs/>
        </w:rPr>
        <w:t>RAN</w:t>
      </w:r>
      <w:r w:rsidR="00E725E2">
        <w:rPr>
          <w:rFonts w:ascii="Arial" w:hAnsi="Arial" w:cs="Arial"/>
          <w:b/>
          <w:bCs/>
        </w:rPr>
        <w:t>2</w:t>
      </w:r>
      <w:r w:rsidR="7F9DBCDE" w:rsidRPr="7F9DBCDE">
        <w:rPr>
          <w:rFonts w:ascii="Arial" w:hAnsi="Arial" w:cs="Arial"/>
          <w:b/>
          <w:bCs/>
        </w:rPr>
        <w:t xml:space="preserve"> group</w:t>
      </w:r>
      <w:r w:rsidR="00894941">
        <w:rPr>
          <w:rFonts w:ascii="Arial" w:hAnsi="Arial" w:cs="Arial"/>
          <w:b/>
          <w:bCs/>
        </w:rPr>
        <w:t>:</w:t>
      </w:r>
    </w:p>
    <w:p w14:paraId="7751EDDE" w14:textId="7AE71FA8" w:rsidR="00B55E0B"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p>
    <w:p w14:paraId="0FB6714A" w14:textId="6101E1AB" w:rsidR="009A1D79" w:rsidRPr="009D4DBF" w:rsidRDefault="009A1D79" w:rsidP="009A1D79">
      <w:pPr>
        <w:spacing w:after="120"/>
        <w:ind w:hanging="283"/>
        <w:rPr>
          <w:rFonts w:ascii="Arial" w:hAnsi="Arial" w:cs="Arial"/>
          <w:bCs/>
        </w:rPr>
      </w:pPr>
      <w:r>
        <w:rPr>
          <w:rFonts w:ascii="Arial" w:hAnsi="Arial" w:cs="Arial"/>
          <w:b/>
        </w:rPr>
        <w:tab/>
      </w:r>
      <w:r w:rsidR="009D4DBF" w:rsidRPr="009D4DBF">
        <w:rPr>
          <w:rFonts w:ascii="Arial" w:hAnsi="Arial" w:cs="Arial"/>
          <w:bCs/>
        </w:rPr>
        <w:t xml:space="preserve">RAN2 </w:t>
      </w:r>
      <w:r w:rsidR="009D4DBF">
        <w:rPr>
          <w:rFonts w:ascii="Arial" w:hAnsi="Arial" w:cs="Arial"/>
          <w:bCs/>
        </w:rPr>
        <w:t>is kindly requested to introduce suitable signalling to support indication of capability of a gap for NR only measurements.</w:t>
      </w:r>
    </w:p>
    <w:p w14:paraId="3334419C" w14:textId="77777777" w:rsidR="009A1D79" w:rsidRDefault="009A1D79" w:rsidP="7F9DBCDE">
      <w:pPr>
        <w:spacing w:after="120"/>
        <w:rPr>
          <w:rFonts w:ascii="Arial" w:hAnsi="Arial" w:cs="Arial"/>
          <w:b/>
          <w:bCs/>
        </w:rPr>
      </w:pPr>
    </w:p>
    <w:p w14:paraId="62F10C23" w14:textId="072B2D1F" w:rsidR="00E035C9" w:rsidRDefault="7F9DBCDE" w:rsidP="00A626E2">
      <w:pPr>
        <w:spacing w:after="120"/>
        <w:rPr>
          <w:rFonts w:ascii="Arial" w:hAnsi="Arial" w:cs="Arial"/>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3A53FCF5" w14:textId="0BD4F1A1" w:rsidR="00A626E2" w:rsidRDefault="00A626E2" w:rsidP="00A44720">
      <w:pPr>
        <w:tabs>
          <w:tab w:val="left" w:pos="5103"/>
        </w:tabs>
        <w:spacing w:after="120"/>
        <w:ind w:left="2268" w:hanging="2268"/>
        <w:rPr>
          <w:rFonts w:ascii="Arial" w:hAnsi="Arial" w:cs="Arial"/>
        </w:rPr>
      </w:pPr>
      <w:r>
        <w:rPr>
          <w:rFonts w:ascii="Arial" w:hAnsi="Arial" w:cs="Arial"/>
        </w:rPr>
        <w:t>RAN4#94bis</w:t>
      </w:r>
      <w:r>
        <w:rPr>
          <w:rFonts w:ascii="Arial" w:hAnsi="Arial" w:cs="Arial"/>
        </w:rPr>
        <w:tab/>
        <w:t xml:space="preserve">20 – </w:t>
      </w:r>
      <w:r w:rsidR="002635CA">
        <w:rPr>
          <w:rFonts w:ascii="Arial" w:hAnsi="Arial" w:cs="Arial"/>
        </w:rPr>
        <w:t xml:space="preserve">30 </w:t>
      </w:r>
      <w:r>
        <w:rPr>
          <w:rFonts w:ascii="Arial" w:hAnsi="Arial" w:cs="Arial"/>
        </w:rPr>
        <w:t>April 2020</w:t>
      </w:r>
      <w:r>
        <w:rPr>
          <w:rFonts w:ascii="Arial" w:hAnsi="Arial" w:cs="Arial"/>
        </w:rPr>
        <w:tab/>
      </w:r>
      <w:r w:rsidR="002635CA">
        <w:rPr>
          <w:rFonts w:ascii="Arial" w:hAnsi="Arial" w:cs="Arial"/>
        </w:rPr>
        <w:t>Online</w:t>
      </w:r>
    </w:p>
    <w:p w14:paraId="53F0AEA2" w14:textId="03467772" w:rsidR="00A626E2" w:rsidRDefault="00A626E2" w:rsidP="00A44720">
      <w:pPr>
        <w:tabs>
          <w:tab w:val="left" w:pos="5103"/>
        </w:tabs>
        <w:spacing w:after="120"/>
        <w:ind w:left="2268" w:hanging="2268"/>
        <w:rPr>
          <w:rFonts w:ascii="Arial" w:hAnsi="Arial" w:cs="Arial"/>
        </w:rPr>
      </w:pPr>
      <w:r>
        <w:rPr>
          <w:rFonts w:ascii="Arial" w:hAnsi="Arial" w:cs="Arial"/>
        </w:rPr>
        <w:t>RAN4#95</w:t>
      </w:r>
      <w:r>
        <w:rPr>
          <w:rFonts w:ascii="Arial" w:hAnsi="Arial" w:cs="Arial"/>
        </w:rPr>
        <w:tab/>
        <w:t>25 – 29 May 2020</w:t>
      </w:r>
      <w:r>
        <w:rPr>
          <w:rFonts w:ascii="Arial" w:hAnsi="Arial" w:cs="Arial"/>
        </w:rPr>
        <w:tab/>
      </w:r>
      <w:r w:rsidR="002635CA">
        <w:rPr>
          <w:rFonts w:ascii="Arial" w:hAnsi="Arial" w:cs="Arial"/>
        </w:rPr>
        <w:t>Online</w:t>
      </w:r>
    </w:p>
    <w:p w14:paraId="2ABFC641" w14:textId="24160FA3" w:rsidR="002635CA" w:rsidRDefault="002635CA" w:rsidP="00A44720">
      <w:pPr>
        <w:tabs>
          <w:tab w:val="left" w:pos="5103"/>
        </w:tabs>
        <w:spacing w:after="120"/>
        <w:ind w:left="2268" w:hanging="2268"/>
        <w:rPr>
          <w:rFonts w:ascii="Arial" w:hAnsi="Arial" w:cs="Arial"/>
        </w:rPr>
      </w:pPr>
      <w:r>
        <w:rPr>
          <w:rFonts w:ascii="Arial" w:hAnsi="Arial" w:cs="Arial"/>
        </w:rPr>
        <w:t xml:space="preserve">RAN4#96 </w:t>
      </w:r>
      <w:r w:rsidR="00B97466">
        <w:rPr>
          <w:rFonts w:ascii="Arial" w:hAnsi="Arial" w:cs="Arial"/>
        </w:rPr>
        <w:tab/>
        <w:t>24-28 August 2020</w:t>
      </w:r>
      <w:r w:rsidR="00B97466">
        <w:rPr>
          <w:rFonts w:ascii="Arial" w:hAnsi="Arial" w:cs="Arial"/>
        </w:rPr>
        <w:tab/>
      </w:r>
      <w:r w:rsidR="00B97466" w:rsidRPr="00B97466">
        <w:rPr>
          <w:rFonts w:ascii="Arial" w:hAnsi="Arial" w:cs="Arial"/>
        </w:rPr>
        <w:t>Toulouse , FR</w:t>
      </w: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7051" w14:textId="77777777" w:rsidR="00C4762F" w:rsidRDefault="00C4762F">
      <w:r>
        <w:separator/>
      </w:r>
    </w:p>
  </w:endnote>
  <w:endnote w:type="continuationSeparator" w:id="0">
    <w:p w14:paraId="6EB8990B" w14:textId="77777777" w:rsidR="00C4762F" w:rsidRDefault="00C4762F">
      <w:r>
        <w:continuationSeparator/>
      </w:r>
    </w:p>
  </w:endnote>
  <w:endnote w:type="continuationNotice" w:id="1">
    <w:p w14:paraId="7B4061A6" w14:textId="77777777" w:rsidR="00C4762F" w:rsidRDefault="00C47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07D3F" w14:textId="77777777" w:rsidR="00C4762F" w:rsidRDefault="00C4762F">
      <w:r>
        <w:separator/>
      </w:r>
    </w:p>
  </w:footnote>
  <w:footnote w:type="continuationSeparator" w:id="0">
    <w:p w14:paraId="54BA3DEE" w14:textId="77777777" w:rsidR="00C4762F" w:rsidRDefault="00C4762F">
      <w:r>
        <w:continuationSeparator/>
      </w:r>
    </w:p>
  </w:footnote>
  <w:footnote w:type="continuationNotice" w:id="1">
    <w:p w14:paraId="3BAF4550" w14:textId="77777777" w:rsidR="00C4762F" w:rsidRDefault="00C476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8"/>
    <w:multiLevelType w:val="hybridMultilevel"/>
    <w:tmpl w:val="194AA2F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F11066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677169"/>
    <w:multiLevelType w:val="hybridMultilevel"/>
    <w:tmpl w:val="A5F654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1" w15:restartNumberingAfterBreak="0">
    <w:nsid w:val="370D2788"/>
    <w:multiLevelType w:val="hybridMultilevel"/>
    <w:tmpl w:val="A06A8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67432"/>
    <w:multiLevelType w:val="hybridMultilevel"/>
    <w:tmpl w:val="333A8134"/>
    <w:lvl w:ilvl="0" w:tplc="4F700FD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3334E"/>
    <w:multiLevelType w:val="hybridMultilevel"/>
    <w:tmpl w:val="FC284D5C"/>
    <w:lvl w:ilvl="0" w:tplc="08090001">
      <w:start w:val="1"/>
      <w:numFmt w:val="bullet"/>
      <w:lvlText w:val=""/>
      <w:lvlJc w:val="left"/>
      <w:pPr>
        <w:ind w:left="105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75686F2F"/>
    <w:multiLevelType w:val="hybridMultilevel"/>
    <w:tmpl w:val="51407CF6"/>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15"/>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8"/>
  </w:num>
  <w:num w:numId="8">
    <w:abstractNumId w:val="7"/>
  </w:num>
  <w:num w:numId="9">
    <w:abstractNumId w:val="23"/>
  </w:num>
  <w:num w:numId="10">
    <w:abstractNumId w:val="25"/>
  </w:num>
  <w:num w:numId="11">
    <w:abstractNumId w:val="17"/>
  </w:num>
  <w:num w:numId="12">
    <w:abstractNumId w:val="6"/>
  </w:num>
  <w:num w:numId="13">
    <w:abstractNumId w:val="0"/>
  </w:num>
  <w:num w:numId="14">
    <w:abstractNumId w:val="10"/>
  </w:num>
  <w:num w:numId="15">
    <w:abstractNumId w:val="20"/>
  </w:num>
  <w:num w:numId="16">
    <w:abstractNumId w:val="1"/>
  </w:num>
  <w:num w:numId="17">
    <w:abstractNumId w:val="4"/>
  </w:num>
  <w:num w:numId="18">
    <w:abstractNumId w:val="14"/>
  </w:num>
  <w:num w:numId="19">
    <w:abstractNumId w:val="11"/>
  </w:num>
  <w:num w:numId="20">
    <w:abstractNumId w:val="12"/>
  </w:num>
  <w:num w:numId="21">
    <w:abstractNumId w:val="16"/>
  </w:num>
  <w:num w:numId="22">
    <w:abstractNumId w:val="21"/>
  </w:num>
  <w:num w:numId="23">
    <w:abstractNumId w:val="24"/>
  </w:num>
  <w:num w:numId="24">
    <w:abstractNumId w:val="9"/>
  </w:num>
  <w:num w:numId="25">
    <w:abstractNumId w:val="5"/>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95E87"/>
    <w:rsid w:val="000B4D91"/>
    <w:rsid w:val="000C14B4"/>
    <w:rsid w:val="000C544E"/>
    <w:rsid w:val="000C5F26"/>
    <w:rsid w:val="000D0301"/>
    <w:rsid w:val="000D358A"/>
    <w:rsid w:val="000D78E6"/>
    <w:rsid w:val="0011065A"/>
    <w:rsid w:val="001121C0"/>
    <w:rsid w:val="0012692A"/>
    <w:rsid w:val="0013166B"/>
    <w:rsid w:val="00140C61"/>
    <w:rsid w:val="00144196"/>
    <w:rsid w:val="001676C5"/>
    <w:rsid w:val="00172188"/>
    <w:rsid w:val="00172A58"/>
    <w:rsid w:val="00174B2A"/>
    <w:rsid w:val="00182E72"/>
    <w:rsid w:val="00184278"/>
    <w:rsid w:val="001B08A5"/>
    <w:rsid w:val="001B4343"/>
    <w:rsid w:val="001C3031"/>
    <w:rsid w:val="001D2FF7"/>
    <w:rsid w:val="001F0C6F"/>
    <w:rsid w:val="00202853"/>
    <w:rsid w:val="00244285"/>
    <w:rsid w:val="00254211"/>
    <w:rsid w:val="002635CA"/>
    <w:rsid w:val="00272130"/>
    <w:rsid w:val="00273FEC"/>
    <w:rsid w:val="002C4DA8"/>
    <w:rsid w:val="002D0D0C"/>
    <w:rsid w:val="002E558F"/>
    <w:rsid w:val="002F4B38"/>
    <w:rsid w:val="00300A5A"/>
    <w:rsid w:val="00332C0B"/>
    <w:rsid w:val="00332D10"/>
    <w:rsid w:val="003364E9"/>
    <w:rsid w:val="003776E2"/>
    <w:rsid w:val="00385549"/>
    <w:rsid w:val="00385854"/>
    <w:rsid w:val="00395913"/>
    <w:rsid w:val="003A1B8F"/>
    <w:rsid w:val="003B22D2"/>
    <w:rsid w:val="003E0050"/>
    <w:rsid w:val="003E3E3C"/>
    <w:rsid w:val="003E5277"/>
    <w:rsid w:val="00404F9B"/>
    <w:rsid w:val="004077D1"/>
    <w:rsid w:val="00432926"/>
    <w:rsid w:val="00446AD9"/>
    <w:rsid w:val="004509CC"/>
    <w:rsid w:val="004568BF"/>
    <w:rsid w:val="00473CCF"/>
    <w:rsid w:val="004A0150"/>
    <w:rsid w:val="004C3D9E"/>
    <w:rsid w:val="004D1479"/>
    <w:rsid w:val="004D3B9C"/>
    <w:rsid w:val="004D4B8B"/>
    <w:rsid w:val="004E58DB"/>
    <w:rsid w:val="00503436"/>
    <w:rsid w:val="00504F2D"/>
    <w:rsid w:val="005138F2"/>
    <w:rsid w:val="00513D47"/>
    <w:rsid w:val="00522F94"/>
    <w:rsid w:val="00533BCF"/>
    <w:rsid w:val="00575EB5"/>
    <w:rsid w:val="005775CF"/>
    <w:rsid w:val="0059471F"/>
    <w:rsid w:val="005C0EE9"/>
    <w:rsid w:val="005E3531"/>
    <w:rsid w:val="0060300F"/>
    <w:rsid w:val="006074C3"/>
    <w:rsid w:val="00607BEF"/>
    <w:rsid w:val="00617B82"/>
    <w:rsid w:val="006822D2"/>
    <w:rsid w:val="00693629"/>
    <w:rsid w:val="006A2D18"/>
    <w:rsid w:val="006B1AED"/>
    <w:rsid w:val="006C7013"/>
    <w:rsid w:val="007014EC"/>
    <w:rsid w:val="00706BAA"/>
    <w:rsid w:val="0074478A"/>
    <w:rsid w:val="00774321"/>
    <w:rsid w:val="007A63E2"/>
    <w:rsid w:val="007A7084"/>
    <w:rsid w:val="007B25F2"/>
    <w:rsid w:val="007B5221"/>
    <w:rsid w:val="0083700A"/>
    <w:rsid w:val="008500DC"/>
    <w:rsid w:val="0087733A"/>
    <w:rsid w:val="00880C80"/>
    <w:rsid w:val="0088327B"/>
    <w:rsid w:val="0088605F"/>
    <w:rsid w:val="0088744F"/>
    <w:rsid w:val="00894941"/>
    <w:rsid w:val="008B63C4"/>
    <w:rsid w:val="008D4142"/>
    <w:rsid w:val="008D5FA9"/>
    <w:rsid w:val="008F33CD"/>
    <w:rsid w:val="008F4DAB"/>
    <w:rsid w:val="00950C0E"/>
    <w:rsid w:val="0096688A"/>
    <w:rsid w:val="00977F3E"/>
    <w:rsid w:val="009827A8"/>
    <w:rsid w:val="00991703"/>
    <w:rsid w:val="009A1D79"/>
    <w:rsid w:val="009D3FAB"/>
    <w:rsid w:val="009D4DBF"/>
    <w:rsid w:val="009E165C"/>
    <w:rsid w:val="009E4139"/>
    <w:rsid w:val="009F3731"/>
    <w:rsid w:val="009F52BD"/>
    <w:rsid w:val="00A44720"/>
    <w:rsid w:val="00A50B5B"/>
    <w:rsid w:val="00A626E2"/>
    <w:rsid w:val="00A8336C"/>
    <w:rsid w:val="00A86816"/>
    <w:rsid w:val="00AA1596"/>
    <w:rsid w:val="00AC0390"/>
    <w:rsid w:val="00AE1358"/>
    <w:rsid w:val="00AE350F"/>
    <w:rsid w:val="00B03BBF"/>
    <w:rsid w:val="00B55E0B"/>
    <w:rsid w:val="00B60F9B"/>
    <w:rsid w:val="00B6539E"/>
    <w:rsid w:val="00B97466"/>
    <w:rsid w:val="00BE3E1F"/>
    <w:rsid w:val="00BE3EDA"/>
    <w:rsid w:val="00BF0722"/>
    <w:rsid w:val="00C140CC"/>
    <w:rsid w:val="00C3074A"/>
    <w:rsid w:val="00C4379C"/>
    <w:rsid w:val="00C43D61"/>
    <w:rsid w:val="00C4762F"/>
    <w:rsid w:val="00C65C5B"/>
    <w:rsid w:val="00C85F9F"/>
    <w:rsid w:val="00C87838"/>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86E6D"/>
    <w:rsid w:val="00D92776"/>
    <w:rsid w:val="00DA27A7"/>
    <w:rsid w:val="00DA2B82"/>
    <w:rsid w:val="00DE673F"/>
    <w:rsid w:val="00E035C9"/>
    <w:rsid w:val="00E0794B"/>
    <w:rsid w:val="00E20D52"/>
    <w:rsid w:val="00E40634"/>
    <w:rsid w:val="00E45A05"/>
    <w:rsid w:val="00E6176E"/>
    <w:rsid w:val="00E6360A"/>
    <w:rsid w:val="00E65024"/>
    <w:rsid w:val="00E725E2"/>
    <w:rsid w:val="00E77E9C"/>
    <w:rsid w:val="00E804CC"/>
    <w:rsid w:val="00E85BE4"/>
    <w:rsid w:val="00EA25B2"/>
    <w:rsid w:val="00EA5ECC"/>
    <w:rsid w:val="00EB0D9F"/>
    <w:rsid w:val="00EB1D2D"/>
    <w:rsid w:val="00F01305"/>
    <w:rsid w:val="00F0244B"/>
    <w:rsid w:val="00F23F1E"/>
    <w:rsid w:val="00F32522"/>
    <w:rsid w:val="00F619BE"/>
    <w:rsid w:val="00F719A8"/>
    <w:rsid w:val="00F74F3F"/>
    <w:rsid w:val="00F815AA"/>
    <w:rsid w:val="00F9078D"/>
    <w:rsid w:val="00FB2FE8"/>
    <w:rsid w:val="00FB646F"/>
    <w:rsid w:val="00FC712D"/>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リスト段落,Lista1,?? ??,?????,????,列出段落1,列出段落"/>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4C3D9E"/>
    <w:rPr>
      <w:lang w:val="en-GB" w:eastAsia="en-US"/>
    </w:rPr>
  </w:style>
  <w:style w:type="paragraph" w:customStyle="1" w:styleId="TAL">
    <w:name w:val="TAL"/>
    <w:basedOn w:val="Normal"/>
    <w:link w:val="TALCar"/>
    <w:qFormat/>
    <w:rsid w:val="00522F94"/>
    <w:pPr>
      <w:keepNext/>
      <w:keepLines/>
    </w:pPr>
    <w:rPr>
      <w:rFonts w:ascii="Arial" w:eastAsia="Malgun Gothic" w:hAnsi="Arial"/>
      <w:sz w:val="18"/>
    </w:rPr>
  </w:style>
  <w:style w:type="character" w:customStyle="1" w:styleId="TALCar">
    <w:name w:val="TAL Car"/>
    <w:link w:val="TAL"/>
    <w:qFormat/>
    <w:rsid w:val="00522F94"/>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296765689">
      <w:bodyDiv w:val="1"/>
      <w:marLeft w:val="0"/>
      <w:marRight w:val="0"/>
      <w:marTop w:val="0"/>
      <w:marBottom w:val="0"/>
      <w:divBdr>
        <w:top w:val="none" w:sz="0" w:space="0" w:color="auto"/>
        <w:left w:val="none" w:sz="0" w:space="0" w:color="auto"/>
        <w:bottom w:val="none" w:sz="0" w:space="0" w:color="auto"/>
        <w:right w:val="none" w:sz="0" w:space="0" w:color="auto"/>
      </w:divBdr>
      <w:divsChild>
        <w:div w:id="1093890441">
          <w:marLeft w:val="0"/>
          <w:marRight w:val="0"/>
          <w:marTop w:val="0"/>
          <w:marBottom w:val="0"/>
          <w:divBdr>
            <w:top w:val="none" w:sz="0" w:space="0" w:color="auto"/>
            <w:left w:val="none" w:sz="0" w:space="0" w:color="auto"/>
            <w:bottom w:val="none" w:sz="0" w:space="0" w:color="auto"/>
            <w:right w:val="none" w:sz="0" w:space="0" w:color="auto"/>
          </w:divBdr>
          <w:divsChild>
            <w:div w:id="1820153206">
              <w:marLeft w:val="0"/>
              <w:marRight w:val="0"/>
              <w:marTop w:val="0"/>
              <w:marBottom w:val="0"/>
              <w:divBdr>
                <w:top w:val="none" w:sz="0" w:space="0" w:color="auto"/>
                <w:left w:val="none" w:sz="0" w:space="0" w:color="auto"/>
                <w:bottom w:val="none" w:sz="0" w:space="0" w:color="auto"/>
                <w:right w:val="none" w:sz="0" w:space="0" w:color="auto"/>
              </w:divBdr>
              <w:divsChild>
                <w:div w:id="994532123">
                  <w:marLeft w:val="0"/>
                  <w:marRight w:val="0"/>
                  <w:marTop w:val="0"/>
                  <w:marBottom w:val="0"/>
                  <w:divBdr>
                    <w:top w:val="none" w:sz="0" w:space="0" w:color="auto"/>
                    <w:left w:val="none" w:sz="0" w:space="0" w:color="auto"/>
                    <w:bottom w:val="none" w:sz="0" w:space="0" w:color="auto"/>
                    <w:right w:val="none" w:sz="0" w:space="0" w:color="auto"/>
                  </w:divBdr>
                </w:div>
                <w:div w:id="1344438205">
                  <w:marLeft w:val="0"/>
                  <w:marRight w:val="0"/>
                  <w:marTop w:val="0"/>
                  <w:marBottom w:val="0"/>
                  <w:divBdr>
                    <w:top w:val="none" w:sz="0" w:space="0" w:color="auto"/>
                    <w:left w:val="none" w:sz="0" w:space="0" w:color="auto"/>
                    <w:bottom w:val="none" w:sz="0" w:space="0" w:color="auto"/>
                    <w:right w:val="none" w:sz="0" w:space="0" w:color="auto"/>
                  </w:divBdr>
                </w:div>
                <w:div w:id="749349129">
                  <w:marLeft w:val="0"/>
                  <w:marRight w:val="0"/>
                  <w:marTop w:val="0"/>
                  <w:marBottom w:val="0"/>
                  <w:divBdr>
                    <w:top w:val="none" w:sz="0" w:space="0" w:color="auto"/>
                    <w:left w:val="none" w:sz="0" w:space="0" w:color="auto"/>
                    <w:bottom w:val="none" w:sz="0" w:space="0" w:color="auto"/>
                    <w:right w:val="none" w:sz="0" w:space="0" w:color="auto"/>
                  </w:divBdr>
                </w:div>
                <w:div w:id="1450860397">
                  <w:marLeft w:val="0"/>
                  <w:marRight w:val="0"/>
                  <w:marTop w:val="0"/>
                  <w:marBottom w:val="0"/>
                  <w:divBdr>
                    <w:top w:val="none" w:sz="0" w:space="0" w:color="auto"/>
                    <w:left w:val="none" w:sz="0" w:space="0" w:color="auto"/>
                    <w:bottom w:val="none" w:sz="0" w:space="0" w:color="auto"/>
                    <w:right w:val="none" w:sz="0" w:space="0" w:color="auto"/>
                  </w:divBdr>
                </w:div>
                <w:div w:id="95566548">
                  <w:marLeft w:val="0"/>
                  <w:marRight w:val="0"/>
                  <w:marTop w:val="0"/>
                  <w:marBottom w:val="0"/>
                  <w:divBdr>
                    <w:top w:val="none" w:sz="0" w:space="0" w:color="auto"/>
                    <w:left w:val="none" w:sz="0" w:space="0" w:color="auto"/>
                    <w:bottom w:val="none" w:sz="0" w:space="0" w:color="auto"/>
                    <w:right w:val="none" w:sz="0" w:space="0" w:color="auto"/>
                  </w:divBdr>
                </w:div>
              </w:divsChild>
            </w:div>
            <w:div w:id="684483248">
              <w:marLeft w:val="0"/>
              <w:marRight w:val="0"/>
              <w:marTop w:val="0"/>
              <w:marBottom w:val="0"/>
              <w:divBdr>
                <w:top w:val="none" w:sz="0" w:space="0" w:color="auto"/>
                <w:left w:val="none" w:sz="0" w:space="0" w:color="auto"/>
                <w:bottom w:val="none" w:sz="0" w:space="0" w:color="auto"/>
                <w:right w:val="none" w:sz="0" w:space="0" w:color="auto"/>
              </w:divBdr>
            </w:div>
            <w:div w:id="371424414">
              <w:marLeft w:val="0"/>
              <w:marRight w:val="0"/>
              <w:marTop w:val="0"/>
              <w:marBottom w:val="0"/>
              <w:divBdr>
                <w:top w:val="none" w:sz="0" w:space="0" w:color="auto"/>
                <w:left w:val="none" w:sz="0" w:space="0" w:color="auto"/>
                <w:bottom w:val="none" w:sz="0" w:space="0" w:color="auto"/>
                <w:right w:val="none" w:sz="0" w:space="0" w:color="auto"/>
              </w:divBdr>
            </w:div>
            <w:div w:id="487478757">
              <w:marLeft w:val="0"/>
              <w:marRight w:val="0"/>
              <w:marTop w:val="0"/>
              <w:marBottom w:val="0"/>
              <w:divBdr>
                <w:top w:val="none" w:sz="0" w:space="0" w:color="auto"/>
                <w:left w:val="none" w:sz="0" w:space="0" w:color="auto"/>
                <w:bottom w:val="none" w:sz="0" w:space="0" w:color="auto"/>
                <w:right w:val="none" w:sz="0" w:space="0" w:color="auto"/>
              </w:divBdr>
              <w:divsChild>
                <w:div w:id="943610767">
                  <w:marLeft w:val="0"/>
                  <w:marRight w:val="0"/>
                  <w:marTop w:val="0"/>
                  <w:marBottom w:val="0"/>
                  <w:divBdr>
                    <w:top w:val="none" w:sz="0" w:space="0" w:color="auto"/>
                    <w:left w:val="none" w:sz="0" w:space="0" w:color="auto"/>
                    <w:bottom w:val="none" w:sz="0" w:space="0" w:color="auto"/>
                    <w:right w:val="none" w:sz="0" w:space="0" w:color="auto"/>
                  </w:divBdr>
                  <w:divsChild>
                    <w:div w:id="17464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513444">
          <w:marLeft w:val="0"/>
          <w:marRight w:val="0"/>
          <w:marTop w:val="0"/>
          <w:marBottom w:val="0"/>
          <w:divBdr>
            <w:top w:val="none" w:sz="0" w:space="0" w:color="auto"/>
            <w:left w:val="none" w:sz="0" w:space="0" w:color="auto"/>
            <w:bottom w:val="none" w:sz="0" w:space="0" w:color="auto"/>
            <w:right w:val="none" w:sz="0" w:space="0" w:color="auto"/>
          </w:divBdr>
          <w:divsChild>
            <w:div w:id="1284188576">
              <w:marLeft w:val="0"/>
              <w:marRight w:val="0"/>
              <w:marTop w:val="0"/>
              <w:marBottom w:val="0"/>
              <w:divBdr>
                <w:top w:val="none" w:sz="0" w:space="0" w:color="auto"/>
                <w:left w:val="none" w:sz="0" w:space="0" w:color="auto"/>
                <w:bottom w:val="none" w:sz="0" w:space="0" w:color="auto"/>
                <w:right w:val="none" w:sz="0" w:space="0" w:color="auto"/>
              </w:divBdr>
              <w:divsChild>
                <w:div w:id="987974260">
                  <w:marLeft w:val="0"/>
                  <w:marRight w:val="0"/>
                  <w:marTop w:val="0"/>
                  <w:marBottom w:val="0"/>
                  <w:divBdr>
                    <w:top w:val="none" w:sz="0" w:space="0" w:color="auto"/>
                    <w:left w:val="none" w:sz="0" w:space="0" w:color="auto"/>
                    <w:bottom w:val="none" w:sz="0" w:space="0" w:color="auto"/>
                    <w:right w:val="none" w:sz="0" w:space="0" w:color="auto"/>
                  </w:divBdr>
                </w:div>
                <w:div w:id="1514491277">
                  <w:marLeft w:val="0"/>
                  <w:marRight w:val="0"/>
                  <w:marTop w:val="0"/>
                  <w:marBottom w:val="0"/>
                  <w:divBdr>
                    <w:top w:val="none" w:sz="0" w:space="0" w:color="auto"/>
                    <w:left w:val="none" w:sz="0" w:space="0" w:color="auto"/>
                    <w:bottom w:val="none" w:sz="0" w:space="0" w:color="auto"/>
                    <w:right w:val="none" w:sz="0" w:space="0" w:color="auto"/>
                  </w:divBdr>
                </w:div>
                <w:div w:id="976060149">
                  <w:marLeft w:val="0"/>
                  <w:marRight w:val="0"/>
                  <w:marTop w:val="0"/>
                  <w:marBottom w:val="0"/>
                  <w:divBdr>
                    <w:top w:val="none" w:sz="0" w:space="0" w:color="auto"/>
                    <w:left w:val="none" w:sz="0" w:space="0" w:color="auto"/>
                    <w:bottom w:val="none" w:sz="0" w:space="0" w:color="auto"/>
                    <w:right w:val="none" w:sz="0" w:space="0" w:color="auto"/>
                  </w:divBdr>
                </w:div>
                <w:div w:id="1036588829">
                  <w:marLeft w:val="0"/>
                  <w:marRight w:val="0"/>
                  <w:marTop w:val="0"/>
                  <w:marBottom w:val="0"/>
                  <w:divBdr>
                    <w:top w:val="none" w:sz="0" w:space="0" w:color="auto"/>
                    <w:left w:val="none" w:sz="0" w:space="0" w:color="auto"/>
                    <w:bottom w:val="none" w:sz="0" w:space="0" w:color="auto"/>
                    <w:right w:val="none" w:sz="0" w:space="0" w:color="auto"/>
                  </w:divBdr>
                </w:div>
                <w:div w:id="132370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5.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6.xml><?xml version="1.0" encoding="utf-8"?>
<ds:datastoreItem xmlns:ds="http://schemas.openxmlformats.org/officeDocument/2006/customXml" ds:itemID="{A351D231-F4DF-4680-9728-7658DD1C0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Ericsson</cp:lastModifiedBy>
  <cp:revision>2</cp:revision>
  <cp:lastPrinted>2002-04-23T07:10:00Z</cp:lastPrinted>
  <dcterms:created xsi:type="dcterms:W3CDTF">2020-04-09T15:28:00Z</dcterms:created>
  <dcterms:modified xsi:type="dcterms:W3CDTF">2020-04-09T15:28:00Z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